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line="100" w:lineRule="atLeast"/>
      </w:pPr>
      <w:bookmarkStart w:id="0" w:name="1"/>
      <w:bookmarkEnd w:id="0"/>
      <w:r>
        <w:rPr>
          <w:sz w:val="28"/>
          <w:b/>
          <w:szCs w:val="28"/>
          <w:rFonts w:ascii="Times New Roman" w:cs="Times New Roman" w:eastAsia="Calibri" w:hAnsi="Times New Roman"/>
        </w:rPr>
        <w:t xml:space="preserve">Российская  Федерация </w:t>
      </w:r>
    </w:p>
    <w:p>
      <w:pPr>
        <w:pStyle w:val="style0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eastAsia="Calibri" w:hAnsi="Times New Roman"/>
        </w:rPr>
      </w:r>
    </w:p>
    <w:p>
      <w:pPr>
        <w:pStyle w:val="style0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eastAsia="Calibri" w:hAnsi="Times New Roman"/>
        </w:rPr>
        <w:t xml:space="preserve">АДМИНИСТРАЦИЯ ЗМЕИНОГОРСКОГО  РАЙОНА </w:t>
      </w:r>
    </w:p>
    <w:p>
      <w:pPr>
        <w:pStyle w:val="style0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eastAsia="Calibri" w:hAnsi="Times New Roman"/>
        </w:rPr>
        <w:t xml:space="preserve">АЛТАЙСКОГО  КРАЯ </w:t>
      </w:r>
    </w:p>
    <w:p>
      <w:pPr>
        <w:pStyle w:val="style0"/>
        <w:jc w:val="center"/>
        <w:spacing w:line="100" w:lineRule="atLeast"/>
      </w:pPr>
      <w:r>
        <w:rPr>
          <w:sz w:val="28"/>
          <w:szCs w:val="28"/>
          <w:rFonts w:ascii="Times New Roman" w:cs="Times New Roman" w:eastAsia="Calibri" w:hAnsi="Times New Roman"/>
        </w:rPr>
      </w:r>
    </w:p>
    <w:p>
      <w:pPr>
        <w:pStyle w:val="style7"/>
        <w:numPr>
          <w:ilvl w:val="6"/>
          <w:numId w:val="1"/>
        </w:numPr>
      </w:pPr>
      <w:r>
        <w:rPr>
          <w:sz w:val="36"/>
          <w:szCs w:val="36"/>
          <w:rFonts w:ascii="Arial" w:cs="Arial" w:hAnsi="Arial"/>
        </w:rPr>
        <w:t>П О С Т А Н О В Л Е Н И Е</w:t>
      </w:r>
    </w:p>
    <w:p>
      <w:pPr>
        <w:pStyle w:val="style0"/>
        <w:jc w:val="both"/>
        <w:spacing w:line="100" w:lineRule="atLeast"/>
      </w:pPr>
      <w:r>
        <w:rPr>
          <w:sz w:val="28"/>
          <w:b/>
          <w:szCs w:val="28"/>
          <w:rFonts w:ascii="Times New Roman" w:cs="Times New Roman" w:eastAsia="Calibri" w:hAnsi="Times New Roman"/>
        </w:rPr>
      </w:r>
    </w:p>
    <w:p>
      <w:pPr>
        <w:pStyle w:val="style0"/>
        <w:jc w:val="both"/>
        <w:spacing w:line="100" w:lineRule="atLeast"/>
      </w:pPr>
      <w:r>
        <w:rPr>
          <w:sz w:val="28"/>
          <w:b/>
          <w:szCs w:val="28"/>
          <w:rFonts w:ascii="Times New Roman" w:cs="Times New Roman" w:eastAsia="Calibri" w:hAnsi="Times New Roman"/>
        </w:rPr>
      </w:r>
    </w:p>
    <w:p>
      <w:pPr>
        <w:pStyle w:val="style4"/>
        <w:numPr>
          <w:ilvl w:val="3"/>
          <w:numId w:val="1"/>
        </w:numPr>
        <w:jc w:val="center"/>
      </w:pPr>
      <w:r>
        <w:rPr>
          <w:szCs w:val="24"/>
        </w:rPr>
        <w:t>30.12.2013                            №  942                                 г. Змеиногорск</w:t>
      </w:r>
    </w:p>
    <w:p>
      <w:pPr>
        <w:pStyle w:val="style0"/>
      </w:pPr>
      <w:r>
        <w:rPr>
          <w:sz w:val="28"/>
          <w:szCs w:val="28"/>
          <w:rFonts w:cs="Times New Roman" w:eastAsia="Calibri"/>
          <w:lang w:eastAsia="ru-RU"/>
        </w:rPr>
      </w:r>
    </w:p>
    <w:p>
      <w:pPr>
        <w:pStyle w:val="style0"/>
        <w:jc w:val="both"/>
        <w:ind w:hanging="0" w:left="0" w:right="4252"/>
        <w:spacing w:line="100" w:lineRule="atLeast"/>
      </w:pPr>
      <w:bookmarkStart w:id="1" w:name="__DdeLink__1333_2041141591"/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Об утверждении Порядка 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</w:t>
      </w:r>
      <w:bookmarkEnd w:id="1"/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В соответствии с пунктом 15 части 1 статьи  34, частью 9 статьи 34 Федерального закона от 29.12. 2012 № 273 - ФЗ «Об образовании в Российской Федерации»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ПОСТАНОВЛЯЮ: 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1. Утвердить прилагаемый Порядок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программы.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2. Настоящее постановление вступает в силу с момента принятия и распространяется на правоотношения, возникшие с 1 сентября 2013 года.</w:t>
      </w:r>
    </w:p>
    <w:p>
      <w:pPr>
        <w:pStyle w:val="style0"/>
        <w:jc w:val="both"/>
        <w:tabs>
          <w:tab w:leader="none" w:pos="0" w:val="center"/>
        </w:tabs>
        <w:ind w:hanging="0" w:left="0" w:right="-2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ab/>
      </w:r>
      <w:r>
        <w:rPr>
          <w:sz w:val="28"/>
          <w:szCs w:val="28"/>
          <w:rFonts w:ascii="Times New Roman" w:cs="Times New Roman" w:eastAsia="Calibri" w:hAnsi="Times New Roman"/>
        </w:rPr>
        <w:t>3. Опубликовать настоящее постановление в установленном порядке.</w:t>
      </w:r>
    </w:p>
    <w:p>
      <w:pPr>
        <w:pStyle w:val="style0"/>
        <w:jc w:val="both"/>
        <w:tabs>
          <w:tab w:leader="none" w:pos="0" w:val="center"/>
        </w:tabs>
        <w:ind w:hanging="0" w:left="0" w:right="-2"/>
        <w:spacing w:line="100" w:lineRule="atLeast"/>
      </w:pPr>
      <w:r>
        <w:rPr>
          <w:sz w:val="28"/>
          <w:szCs w:val="28"/>
          <w:rFonts w:ascii="Times New Roman" w:cs="Times New Roman" w:eastAsia="Calibri" w:hAnsi="Times New Roman"/>
        </w:rPr>
      </w:r>
    </w:p>
    <w:p>
      <w:pPr>
        <w:pStyle w:val="style0"/>
        <w:ind w:hanging="0" w:left="0" w:right="333"/>
        <w:spacing w:line="100" w:lineRule="atLeast"/>
      </w:pPr>
      <w:r>
        <w:rPr>
          <w:sz w:val="28"/>
          <w:szCs w:val="28"/>
          <w:rFonts w:ascii="Times New Roman" w:cs="Times New Roman" w:eastAsia="Calibri" w:hAnsi="Times New Roman"/>
        </w:rPr>
        <w:t xml:space="preserve">Глава Администрации </w:t>
      </w:r>
    </w:p>
    <w:p>
      <w:pPr>
        <w:pStyle w:val="style0"/>
        <w:ind w:hanging="0" w:left="0" w:right="333"/>
        <w:spacing w:line="100" w:lineRule="atLeast"/>
      </w:pPr>
      <w:r>
        <w:rPr>
          <w:sz w:val="28"/>
          <w:szCs w:val="28"/>
          <w:rFonts w:ascii="Times New Roman" w:cs="Times New Roman" w:eastAsia="Calibri" w:hAnsi="Times New Roman"/>
        </w:rPr>
        <w:t xml:space="preserve">Змеиногорского района                                                                  В.И.Коренский    </w:t>
      </w:r>
    </w:p>
    <w:p>
      <w:pPr>
        <w:pStyle w:val="style0"/>
        <w:ind w:hanging="0" w:left="0" w:right="333"/>
        <w:spacing w:line="100" w:lineRule="atLeast"/>
      </w:pPr>
      <w:r>
        <w:rPr>
          <w:sz w:val="28"/>
          <w:szCs w:val="28"/>
          <w:rFonts w:ascii="Times New Roman" w:cs="Times New Roman" w:eastAsia="Calibri" w:hAnsi="Times New Roman"/>
        </w:rPr>
      </w:r>
    </w:p>
    <w:p>
      <w:pPr>
        <w:pStyle w:val="style0"/>
        <w:ind w:hanging="0" w:left="0" w:right="333"/>
        <w:spacing w:line="100" w:lineRule="atLeast"/>
      </w:pPr>
      <w:r>
        <w:rPr>
          <w:sz w:val="28"/>
          <w:szCs w:val="28"/>
          <w:rFonts w:ascii="Times New Roman" w:cs="Times New Roman" w:eastAsia="Calibri" w:hAnsi="Times New Roman"/>
        </w:rPr>
      </w:r>
    </w:p>
    <w:p>
      <w:pPr>
        <w:pStyle w:val="style0"/>
        <w:ind w:hanging="0" w:left="0" w:right="333"/>
        <w:spacing w:line="100" w:lineRule="atLeast"/>
      </w:pPr>
      <w:r>
        <w:rPr>
          <w:sz w:val="28"/>
          <w:szCs w:val="28"/>
          <w:rFonts w:ascii="Times New Roman" w:cs="Times New Roman" w:eastAsia="Calibri" w:hAnsi="Times New Roman"/>
        </w:rPr>
        <w:t xml:space="preserve">                                                   </w:t>
      </w:r>
    </w:p>
    <w:p>
      <w:pPr>
        <w:pStyle w:val="style0"/>
        <w:spacing w:line="100" w:lineRule="atLeast"/>
      </w:pPr>
      <w:r>
        <w:rPr>
          <w:sz w:val="28"/>
          <w:szCs w:val="28"/>
          <w:rFonts w:ascii="Times New Roman" w:cs="Times New Roman" w:eastAsia="Calibri" w:hAnsi="Times New Roman"/>
        </w:rPr>
      </w:r>
    </w:p>
    <w:p>
      <w:pPr>
        <w:pStyle w:val="style0"/>
        <w:spacing w:line="100" w:lineRule="atLeast"/>
      </w:pPr>
      <w:r>
        <w:rPr>
          <w:rFonts w:ascii="Times New Roman" w:cs="Times New Roman" w:eastAsia="Calibri" w:hAnsi="Times New Roman"/>
        </w:rPr>
      </w:r>
    </w:p>
    <w:p>
      <w:pPr>
        <w:pStyle w:val="style0"/>
        <w:spacing w:line="100" w:lineRule="atLeast"/>
      </w:pPr>
      <w:r>
        <w:rPr>
          <w:rFonts w:ascii="Times New Roman" w:cs="Times New Roman" w:eastAsia="Calibri" w:hAnsi="Times New Roman"/>
        </w:rPr>
      </w:r>
    </w:p>
    <w:p>
      <w:pPr>
        <w:pStyle w:val="style0"/>
        <w:spacing w:line="100" w:lineRule="atLeast"/>
      </w:pPr>
      <w:r>
        <w:rPr>
          <w:rFonts w:ascii="Times New Roman" w:cs="Times New Roman" w:eastAsia="Calibri" w:hAnsi="Times New Roman"/>
        </w:rPr>
      </w:r>
    </w:p>
    <w:p>
      <w:pPr>
        <w:pStyle w:val="style0"/>
        <w:spacing w:line="100" w:lineRule="atLeast"/>
      </w:pPr>
      <w:r>
        <w:rPr>
          <w:rFonts w:ascii="Times New Roman" w:cs="Times New Roman" w:eastAsia="Calibri" w:hAnsi="Times New Roman"/>
        </w:rPr>
      </w:r>
    </w:p>
    <w:p>
      <w:pPr>
        <w:pStyle w:val="style0"/>
        <w:spacing w:line="100" w:lineRule="atLeast"/>
      </w:pPr>
      <w:r>
        <w:rPr>
          <w:rFonts w:ascii="Times New Roman" w:cs="Times New Roman" w:eastAsia="Calibri" w:hAnsi="Times New Roman"/>
        </w:rPr>
        <w:t>М.В.Тугунова</w:t>
      </w:r>
    </w:p>
    <w:p>
      <w:pPr>
        <w:pStyle w:val="style0"/>
        <w:spacing w:line="100" w:lineRule="atLeast"/>
      </w:pPr>
      <w:r>
        <w:rPr>
          <w:rFonts w:ascii="Times New Roman" w:cs="Times New Roman" w:eastAsia="Calibri" w:hAnsi="Times New Roman"/>
        </w:rPr>
        <w:t>22551</w:t>
      </w:r>
    </w:p>
    <w:p>
      <w:pPr>
        <w:pStyle w:val="style0"/>
        <w:spacing w:line="100" w:lineRule="atLeast"/>
      </w:pPr>
      <w:r>
        <w:rPr>
          <w:rFonts w:ascii="Times New Roman" w:cs="Times New Roman" w:eastAsia="Calibri" w:hAnsi="Times New Roman"/>
        </w:rPr>
        <w:t>В дело</w:t>
      </w:r>
    </w:p>
    <w:p>
      <w:pPr>
        <w:pStyle w:val="style0"/>
        <w:spacing w:line="100" w:lineRule="atLeast"/>
      </w:pPr>
      <w:r>
        <w:rPr>
          <w:rFonts w:ascii="Times New Roman" w:cs="Times New Roman" w:eastAsia="Calibri" w:hAnsi="Times New Roman"/>
        </w:rPr>
        <w:t>Комитет по образованию</w:t>
      </w:r>
    </w:p>
    <w:p>
      <w:pPr>
        <w:pStyle w:val="style0"/>
        <w:jc w:val="right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</w:r>
    </w:p>
    <w:p>
      <w:pPr>
        <w:pStyle w:val="style0"/>
        <w:ind w:hanging="0" w:left="5812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УТВЕРЖДЕН</w:t>
      </w:r>
    </w:p>
    <w:p>
      <w:pPr>
        <w:pStyle w:val="style0"/>
        <w:ind w:hanging="0" w:left="5812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Постановлением Администрации </w:t>
      </w:r>
    </w:p>
    <w:p>
      <w:pPr>
        <w:pStyle w:val="style0"/>
        <w:ind w:hanging="0" w:left="5812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Змеиногорского района </w:t>
      </w:r>
    </w:p>
    <w:p>
      <w:pPr>
        <w:pStyle w:val="style0"/>
        <w:ind w:hanging="0" w:left="5812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от «30» декабря 2013 № 942</w:t>
      </w:r>
    </w:p>
    <w:p>
      <w:pPr>
        <w:pStyle w:val="style0"/>
        <w:jc w:val="center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center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ПОРЯДОК</w:t>
      </w:r>
    </w:p>
    <w:p>
      <w:pPr>
        <w:pStyle w:val="style0"/>
        <w:jc w:val="center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I. Общие положения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1. Настоящий Порядок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 (далее – Порядок), обеспечивает гарантии прав обучающихся на получение общего образования и устанавливает общие требования к процедуре перевода лиц, обучающихся по основным образовательным программам общего образования (далее – обучающиеся), из образовательной организации, реализующей основные образовательные программы общего образования (далее – исходная образовательная организация), в другую образовательную организацию, реализующую образовательные программы соответствующего уровня (далее – принимающая образовательная организация), для обучения по основным образовательным программам общего образования.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2. Под переводом понимается процедура отчисления обучающегося из исходной образовательной организации и приема в принимающую образовательную организацию.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3. Действие настоящего Порядка распространяется на общеобразовательные организации, за исключением специальных учебно-воспитательных учреждений открытого и закрытого типов, порядок направления в которые определяется </w:t>
      </w:r>
      <w:bookmarkStart w:id="2" w:name="3"/>
      <w:bookmarkEnd w:id="2"/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Федеральным законом от 24.06.1999 года № 120-ФЗ «Об основах системы профилактики безнадзорности и правонарушений несовершеннолетних».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4. Настоящий порядок регулирует перевод обучающихся, в следующих случаях: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- по инициативе родителей (законных представителей) обучающихся;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- при прекращении деятельности организации, осуществляющей образовательную деятельность, аннулирования соответствующей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соответствующей(им) образовательной(ым) программе(ам);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- при приостановлении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5. Перевод обучающихся может быть осуществлен в течение всего учебного года.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6. Перевод обучающихся обеспечивает комитет по образованию и делам молодежи в соответствии с установленным порядком приема граждан в образовательные организации (далее – Порядок приема) с учетом закрепленной территории. 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7. Обучающиеся переводятся в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(далее – аккредитованные образовательные программы).</w:t>
      </w:r>
    </w:p>
    <w:p>
      <w:pPr>
        <w:pStyle w:val="style0"/>
        <w:jc w:val="center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II. Процедура перевода обучающегося по инициативе родителей</w:t>
      </w:r>
    </w:p>
    <w:p>
      <w:pPr>
        <w:pStyle w:val="style0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(законных представителей) обучающегося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8. Отчисление обучающегося из исходной образовательной организации с целью последующего перевода в принимающую образовательную организацию осуществляется по письменному заявлению родителей (законных представителей) обучающегося.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В заявлении указываются: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а) фамилия, имя, отчество (при наличии) обучающегося;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б) дата и место рождения;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в) класс и профиль обучения (при наличии);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г) наименование и местонахождение принимающей образовательной организации; 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д) причины перевода в принимающую образовательную организацию.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Родители (законные представители) обучающегося могут направить в исходную образовательную организацию заявление о переводе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Заявление о переводе подписывается обоими родителями (при наличии), в случае подачи заявления в электронной форме – с использованием электронной цифровой подписи.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9. На основании заявления родителей (законных представителей) обучающегося исходная образовательная организация издает приказ об отчислении обучающегося в связи с его переводом в принимающую образовательную организацию. 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10. Исходная образовательная организация выдает родителям (законным представителям) обучающегося следующие документы: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- личное дело обучающегося;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- ведомость текущих отметок, которая подписывается руководителем образовательной организации и заверяется печатью образовательной организации;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- медицинскую карту обучающегося.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11. Принимающая образовательная организация при приеме обучающегося, отчисленного из исходной образовательной организации, обязана в трехдневный срок в произвольной форме уведомить исходную образовательную организацию о </w:t>
      </w:r>
      <w:bookmarkStart w:id="3" w:name="5"/>
      <w:bookmarkEnd w:id="3"/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факте приема указанного обучающегося. До подтверждения факта приема отчисленного обучающегося в принимающую образовательную организацию ответственность за обеспечение гарантии права обучающегося на получение образования несет исходная образовательная организация.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12.  Перевод детей-сирот и детей, оставшихся без попечения родителей, из исходной образовательной организации в принимающую образовательную организацию осуществляется в соответствии с настоящим Порядком при условии получения согласия органа опеки и попечительства.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Перевод обучающихся из исходной образовательной организации в принимающую образовательную организацию, осуществляющую образовательную деятельность по адаптированным основным общеобразовательным программам, осуществляется в соответствии с настоящим Порядком на основании рекомендаций психолого-медико-педагогической комиссии.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Перевод обучающихся из исходной образовательной организации в принимающую образовательную организацию, в том числе санаторную, в которой проводятся необходимые лечебные, реабилитационные и оздоровительные мероприятия, осуществляется в соответствии с настоящим Порядком на основании заключения медицинской организации.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13. Требование предоставления других документов в качестве основания для перевода детей в организацию, осуществляющую образовательную деятельность, не допускается.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14. Указанные документы вместе с заявлением о приеме в другую образовательную организацию родители (законные представители) обучающегося при предъявлении оригинала документа, удостоверяющего личность родителя (законного представителя), предоставляют в принимающую образовательную организацию.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15. Зачисление обучающегося в принимающую образовательную организацию осуществляется в соответствии с Порядком приема.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center"/>
        <w:spacing w:line="100" w:lineRule="atLeast"/>
      </w:pPr>
      <w:bookmarkStart w:id="4" w:name="6"/>
      <w:bookmarkEnd w:id="4"/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III. Особенности осуществления перевода обучающихся по образовательным</w:t>
      </w:r>
    </w:p>
    <w:p>
      <w:pPr>
        <w:pStyle w:val="style0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программам начального общего, основного общего, среднего общего образования, в другие организации, осуществляющие образовательную деятельность по соответствующим программам, в случае прекращения деятельности организации, осуществляющей образовательную деятельность, аннулирования соответствующей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16. В случае прекращения деятельности (ликвидация, реорганизация) образовательной организации, аннулирования соответствующей лицензии, лишения организации, осуществляющей образовательную деятельность, государственной аккредитации по соответствующей образовательной программе или истечения срока действия государственной аккредитации (далее–организация, прекращающая деятельность; случаи прекращения деятельности):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16.1. С целью определения принимающей образовательной организации (перечня принимающих образовательных организаций; далее – перечень) учредитель частной организации, прекращающей деятельность, обращается в комитет по образованию и делам молодежи с ходатайством об определении принимающей образовательной организации (перечня).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Комитет по образованию и делам молодежи определяют принимающую образовательную организацию (перечень).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Решение об определении принимающей государственной, муниципальной образовательной организации (перечне) принимает комитет по образованию и делам молодежи. Определение принимающей образовательной организации (перечня) осуществляется из числа организаций, осуществляющих образовательную деятельность по имеющим государственную аккредитацию основным образовательным программам соответствующих уровня и направленности, с учетом </w:t>
      </w:r>
      <w:bookmarkStart w:id="5" w:name="7"/>
      <w:bookmarkEnd w:id="5"/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закрепленной территории, запросов совершеннолетних обучающихся, родителей несовершеннолетних обучающихся и возможностей принимающей(их) образовательной(ых) организации(й).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После принятия решения о перечне комитет по образованию и делам молодежи издает распорядительный акт о прекращении деятельности исходной образовательной организации с указанием принимающей образовательной организации (перечня), размещает его на своем официальном сайте в сети «Интернет» и доводит информацию до образовательной организации, прекращающей деятельность.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16.2. Руководитель организации, прекращающей деятельность, или уполномоченное им лицо: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- в случае истечения срока действия государственной аккредитации при условии, если организация, прекращающая действие, не обращалась и не планирует обращаться в аккредитационный орган с заявлением о государственной аккредитации, не позднее чем за 2 месяца до момента окончания срока действия государственной аккредитации по соответствующей образовательной программе уведомляет об этом комитет по образованию и делам молодежи;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- в случае прекращения деятельности исходной образовательной организации в 3-дневный срок после издания комитетом по образованию и делам молодежи распорядительного акта информирует обучающихся и родителей (законных представителей) о прекращении деятельности указанной организации, о предлагаемой принимающей образовательной организации (перечне) с указанием сведений о направленности реализуемых ею(ими) соответствующих образовательных программ, наличии государственной аккредитации по соответствующим образовательным программам, местонахождении указанной образовательной(ых) организации(й) с учетом закрепленной территории, а также размещает указанную информацию на официальном сайте исходной образовательной организации в сети «Интернет»;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- получает согласие (письменное в произвольной форме) совершеннолетних обучающихся, родителей (законных представителей) несовершеннолетних обучающихся на перевод с указанием принимающей образовательной организации из перечня; </w:t>
      </w:r>
    </w:p>
    <w:p>
      <w:pPr>
        <w:pStyle w:val="style0"/>
        <w:jc w:val="both"/>
        <w:spacing w:line="100" w:lineRule="atLeast"/>
      </w:pPr>
      <w:bookmarkStart w:id="6" w:name="8"/>
      <w:bookmarkEnd w:id="6"/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- в случае отказа совершеннолетнего обучающегося, родителей (законных представителей) несовершеннолетнего обучающегося от перевода во все предложенные принимающие образовательные организации из перечня (о чем они указывают в письменном заявлении об отказе от перевода) предлагает иные формы получения образования из числа установленных законодательством Российской Федерации;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- на основании письменного согласия совершеннолетних обучающихся, родителей (законных представителей) несовершеннолетних обучающихся, а также распорядительного акта, изданного комитетом по образованию и делам молодежи, издает приказ об отчислении обучающихся в связи с прекращением деятельности исходной образовательной организации и переводом обучающихся в принимающую образовательную организацию;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- передает в принимающую(ие) образовательную(ые) организацию(и) заверенные подписью и печатью списочный состав обучающихся (по классам, направлениям профильного обучения), личные дела обучающихся, информацию о текущей успеваемости обучающихся (итогах промежуточной аттестации), медицинские карты обучающихся;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- несет персональную ответственность за передачу в принимающую образовательную организацию указанной документации, в том числе за полноту и качество представленной документации.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16.3. Руководитель принимающей образовательной организации: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- организует прием документов обучающихся от организации, прекращающей деятельность; 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- издает приказ о зачислении обучающихся с указанием организации, прекращающей деятельность, из которой переводится обучающийся.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17. В случае приостановления действия лицензии образовательной организации, приостановления действия государственной аккредитации полностью или в отношении отдельных уровней образования перевод по соответствующим образовательным программам осуществляется в соответствии с пунктом 16 настоящего Порядка.</w:t>
      </w:r>
    </w:p>
    <w:p>
      <w:pPr>
        <w:pStyle w:val="style0"/>
        <w:jc w:val="both"/>
        <w:ind w:firstLine="708" w:left="0" w:right="0"/>
        <w:spacing w:line="100" w:lineRule="atLeast"/>
      </w:pPr>
      <w:bookmarkStart w:id="7" w:name="9"/>
      <w:bookmarkEnd w:id="7"/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Перевод осуществляется по заявлению совершеннолетних обучающихся, родителей (законных представителей) несовершеннолетних обучающихся, оформленному в соответствии с подпунктами «а»–«г» пункта 8 настоящего Порядка.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18. В случае лишения организации государственной аккредитации по соответствующим образовательным программам, истечения срока ее действия, а также приостановления действия государственной аккредитации комитет по образованию и делам молодежи может принять решение о продолжении деятельности указанной организации, в том числе по неаккредитованным образовательным программам.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Перевод обучающихся, завершающих в текущем учебном году освоение образовательных программ основного общего или среднего общего образования и участвующих в государственной итоговой аттестации, осуществляется в указанных случаях в обязательном порядке и производится в соответствии с пунктом 16 настоящего Порядка: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- с письменного согласия совершеннолетних обучающихся и  родителей (законных представителей) несовершеннолетних обучающихся - в случае лишения исходной образовательной организации государственной аккредитации по образовательным программам основного общего и/или среднего общего образования, истечения срока действия; 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- по заявлению совершеннолетних обучающихся, родителей (законных представителей) несовершеннолетних обучающихся - в случае приостановления действия государственной аккредитации по соответствующим образовательным программам.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В случае принятия комитетом по образованию и делам молодежи решения о продолжении организацией образовательной деятельности по соответствующим образовательным программам он должен проинформировать родителей (законных представителей) обучающихся, не участвующих в государственной итоговой аттестации в текущем учебном году: 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- о праве на продолжение обучения в данной организации по соответствующим образовательным программам или на перевод в принимающую образовательную организацию; 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- о возможных последствиях продолжения освоения обучающимися неаккредитованных основных общеобразовательных программ в указанной</w:t>
      </w:r>
      <w:bookmarkStart w:id="8" w:name="10"/>
      <w:bookmarkEnd w:id="8"/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образовательной организации, сохраняющихся до получения образовательной организацией государственной аккредитации по соответствующим образовательным программам (невозможности участия обучающихся в государственной итоговой аттестации по программам основного общего, среднего общего образования и получения документов об образовании установленного образца).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В случае если родители (законные представители) обучающихся, не участвующих в государственной итоговой аттестации в текущем учебном году, после информирования комитетом по образованию и делам молодежи приняли решение о переводе в принимающую организацию, перевод осуществляется в соответствии с пунктом 16 настоящего Порядка: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- с письменного согласия совершеннолетних обучающихся и родителей (законных представителей) несовершеннолетних обучающихся - при лишении исходной образовательной организации государственной аккредитации по соответствующим образовательным программам, истечения срока действия; 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- по заявлению совершеннолетних обучающихся, родителей (законных представителей) несовершеннолетних обучающихся – при приостановлении действия государственной аккредитации по соответствующим образовательным программам. 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В случае если после информирования комитетом по образованию и делам молодежи родители (законные представители) обучающегося, не участвующего в государственной итоговой аттестации в текущем учебном году, приняли решение о продолжении освоения соответствующих образовательных программ в исходной образовательной организации, обучающийся продолжает обучение в указанной образовательной организации.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Комитет по образованию и делам молодежи в этом случае принимает все необходимые меры для получения государственной аккредитации образовательной деятельности организации по соответствующим образовательным программам.</w:t>
      </w:r>
    </w:p>
    <w:p>
      <w:pPr>
        <w:pStyle w:val="style0"/>
        <w:jc w:val="both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418" w:right="567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4" w:type="paragraph">
    <w:name w:val="Заголовок 4"/>
    <w:basedOn w:val="style0"/>
    <w:next w:val="style19"/>
    <w:pPr>
      <w:outlineLvl w:val="3"/>
      <w:numPr>
        <w:ilvl w:val="3"/>
        <w:numId w:val="1"/>
      </w:numPr>
      <w:keepNext/>
      <w:spacing w:line="100" w:lineRule="atLeast"/>
    </w:pPr>
    <w:rPr>
      <w:sz w:val="24"/>
      <w:szCs w:val="20"/>
      <w:rFonts w:ascii="Times New Roman" w:cs="Times New Roman" w:eastAsia="Times New Roman" w:hAnsi="Times New Roman"/>
      <w:lang w:eastAsia="ru-RU"/>
    </w:rPr>
  </w:style>
  <w:style w:styleId="style7" w:type="paragraph">
    <w:name w:val="Заголовок 7"/>
    <w:basedOn w:val="style0"/>
    <w:next w:val="style19"/>
    <w:pPr>
      <w:outlineLvl w:val="6"/>
      <w:numPr>
        <w:ilvl w:val="6"/>
        <w:numId w:val="1"/>
      </w:numPr>
      <w:jc w:val="center"/>
      <w:keepNext/>
      <w:spacing w:line="100" w:lineRule="atLeast"/>
    </w:pPr>
    <w:rPr>
      <w:sz w:val="28"/>
      <w:b/>
      <w:szCs w:val="20"/>
      <w:rFonts w:ascii="Times New Roman" w:cs="Times New Roman" w:eastAsia="Times New Roman" w:hAnsi="Times New Roman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/>
  </w:style>
  <w:style w:styleId="style17" w:type="character">
    <w:name w:val="Заголовок 7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2013-12-16T08:52:00.00Z</dcterms:created>
  <dc:creator>Goroh</dc:creator>
  <cp:lastModifiedBy>Goroh</cp:lastModifiedBy>
  <cp:lastPrinted>2014-01-13T02:53:00.00Z</cp:lastPrinted>
  <dcterms:modified xsi:type="dcterms:W3CDTF">2014-01-13T02:54:00.00Z</dcterms:modified>
  <cp:revision>10</cp:revision>
</cp:coreProperties>
</file>