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9" w:rsidRPr="00A12118" w:rsidRDefault="000738E9" w:rsidP="000738E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48"/>
          <w:szCs w:val="48"/>
        </w:rPr>
      </w:pPr>
      <w:r w:rsidRPr="00A12118">
        <w:rPr>
          <w:rFonts w:ascii="__" w:eastAsia="Times New Roman" w:hAnsi="__" w:cs="Times New Roman"/>
          <w:b/>
          <w:bCs/>
          <w:color w:val="4F4F4F"/>
          <w:sz w:val="48"/>
          <w:szCs w:val="48"/>
        </w:rPr>
        <w:t>Памятка</w:t>
      </w:r>
    </w:p>
    <w:p w:rsidR="000738E9" w:rsidRDefault="000738E9" w:rsidP="000738E9">
      <w:pPr>
        <w:shd w:val="clear" w:color="auto" w:fill="FFFFFF"/>
        <w:spacing w:after="240" w:line="240" w:lineRule="auto"/>
        <w:jc w:val="center"/>
        <w:rPr>
          <w:rFonts w:ascii="__" w:eastAsia="Times New Roman" w:hAnsi="__" w:cs="Times New Roman"/>
          <w:color w:val="4F4F4F"/>
          <w:sz w:val="28"/>
          <w:szCs w:val="28"/>
        </w:r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t>Маркировка пищевой продукции</w:t>
      </w:r>
    </w:p>
    <w:p w:rsidR="000738E9" w:rsidRPr="000738E9" w:rsidRDefault="000738E9" w:rsidP="000738E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32"/>
          <w:szCs w:val="32"/>
        </w:rPr>
      </w:pPr>
      <w:r w:rsidRPr="000738E9">
        <w:rPr>
          <w:rFonts w:ascii="__" w:eastAsia="Times New Roman" w:hAnsi="__" w:cs="Times New Roman"/>
          <w:color w:val="4F4F4F"/>
          <w:sz w:val="32"/>
          <w:szCs w:val="32"/>
        </w:rPr>
        <w:t xml:space="preserve">Маркировка пищевой продукции должна быть понятной, </w:t>
      </w:r>
      <w:proofErr w:type="spellStart"/>
      <w:r w:rsidRPr="000738E9">
        <w:rPr>
          <w:rFonts w:ascii="__" w:eastAsia="Times New Roman" w:hAnsi="__" w:cs="Times New Roman"/>
          <w:color w:val="4F4F4F"/>
          <w:sz w:val="32"/>
          <w:szCs w:val="32"/>
        </w:rPr>
        <w:t>легкочитаемой</w:t>
      </w:r>
      <w:proofErr w:type="spellEnd"/>
      <w:r w:rsidRPr="000738E9">
        <w:rPr>
          <w:rFonts w:ascii="__" w:eastAsia="Times New Roman" w:hAnsi="__" w:cs="Times New Roman"/>
          <w:color w:val="4F4F4F"/>
          <w:sz w:val="32"/>
          <w:szCs w:val="32"/>
        </w:rPr>
        <w:t>, достоверной и не вводить в заблуждение потребителей (приобретателей).</w:t>
      </w:r>
    </w:p>
    <w:p w:rsidR="000738E9" w:rsidRPr="000738E9" w:rsidRDefault="000738E9" w:rsidP="000738E9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F4F4F"/>
          <w:sz w:val="32"/>
          <w:szCs w:val="32"/>
        </w:rPr>
      </w:pPr>
      <w:r w:rsidRPr="000738E9">
        <w:rPr>
          <w:rFonts w:ascii="__" w:eastAsia="Times New Roman" w:hAnsi="__" w:cs="Times New Roman"/>
          <w:color w:val="4F4F4F"/>
          <w:sz w:val="32"/>
          <w:szCs w:val="32"/>
        </w:rPr>
        <w:t xml:space="preserve">При </w:t>
      </w:r>
      <w:proofErr w:type="spellStart"/>
      <w:r w:rsidRPr="000738E9">
        <w:rPr>
          <w:rFonts w:ascii="__" w:eastAsia="Times New Roman" w:hAnsi="__" w:cs="Times New Roman"/>
          <w:color w:val="4F4F4F"/>
          <w:sz w:val="32"/>
          <w:szCs w:val="32"/>
        </w:rPr>
        <w:t>фасовании</w:t>
      </w:r>
      <w:proofErr w:type="spellEnd"/>
      <w:r w:rsidRPr="000738E9">
        <w:rPr>
          <w:rFonts w:ascii="__" w:eastAsia="Times New Roman" w:hAnsi="__" w:cs="Times New Roman"/>
          <w:color w:val="4F4F4F"/>
          <w:sz w:val="32"/>
          <w:szCs w:val="32"/>
        </w:rPr>
        <w:t xml:space="preserve">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продукции, дата ее изготовления, срок ее годности и условия хранения.</w:t>
      </w:r>
    </w:p>
    <w:p w:rsidR="000738E9" w:rsidRPr="000738E9" w:rsidRDefault="000738E9" w:rsidP="000738E9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4F4F4F"/>
          <w:sz w:val="32"/>
          <w:szCs w:val="32"/>
        </w:rPr>
      </w:pPr>
      <w:r w:rsidRPr="000738E9">
        <w:rPr>
          <w:rFonts w:ascii="__" w:eastAsia="Times New Roman" w:hAnsi="__" w:cs="Times New Roman"/>
          <w:noProof/>
          <w:color w:val="4F4F4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109220</wp:posOffset>
            </wp:positionV>
            <wp:extent cx="2539365" cy="3240405"/>
            <wp:effectExtent l="19050" t="0" r="0" b="0"/>
            <wp:wrapTight wrapText="bothSides">
              <wp:wrapPolygon edited="0">
                <wp:start x="-162" y="0"/>
                <wp:lineTo x="-162" y="21460"/>
                <wp:lineTo x="21551" y="21460"/>
                <wp:lineTo x="21551" y="0"/>
                <wp:lineTo x="-162" y="0"/>
              </wp:wrapPolygon>
            </wp:wrapTight>
            <wp:docPr id="1" name="Рисунок 1" descr="C:\Documents and Settings\Администратор\Рабочий стол\кондит\марк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ндит\маркир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8E9">
        <w:rPr>
          <w:rFonts w:ascii="__" w:eastAsia="Times New Roman" w:hAnsi="__" w:cs="Times New Roman"/>
          <w:color w:val="4F4F4F"/>
          <w:sz w:val="32"/>
          <w:szCs w:val="32"/>
        </w:rPr>
        <w:t>Иные сведения доводятся до потребителя любым способом, обеспечивающим возможность обоснованного выбора этой пищевой продукции (в том числе путем нанесения на потребительскую упаковку и (или) этикетку, и (или) на листок-вкладыш, помещаемый в каждую упаковочную единицу или прилагаемый к каждой упаковочной единице продукции).</w:t>
      </w:r>
    </w:p>
    <w:p w:rsidR="00000000" w:rsidRDefault="000738E9" w:rsidP="000738E9">
      <w:pPr>
        <w:shd w:val="clear" w:color="auto" w:fill="FFFFFF"/>
        <w:spacing w:after="240" w:line="240" w:lineRule="auto"/>
        <w:ind w:firstLine="539"/>
        <w:jc w:val="both"/>
      </w:pPr>
      <w:r w:rsidRPr="000738E9">
        <w:rPr>
          <w:rFonts w:ascii="__" w:eastAsia="Times New Roman" w:hAnsi="__" w:cs="Times New Roman"/>
          <w:color w:val="4F4F4F"/>
          <w:sz w:val="32"/>
          <w:szCs w:val="32"/>
        </w:rPr>
        <w:t xml:space="preserve">Маркировка пищевой продукции, </w:t>
      </w:r>
      <w:proofErr w:type="spellStart"/>
      <w:r w:rsidRPr="000738E9">
        <w:rPr>
          <w:rFonts w:ascii="__" w:eastAsia="Times New Roman" w:hAnsi="__" w:cs="Times New Roman"/>
          <w:color w:val="4F4F4F"/>
          <w:sz w:val="32"/>
          <w:szCs w:val="32"/>
        </w:rPr>
        <w:t>фасование</w:t>
      </w:r>
      <w:proofErr w:type="spellEnd"/>
      <w:r w:rsidRPr="000738E9">
        <w:rPr>
          <w:rFonts w:ascii="__" w:eastAsia="Times New Roman" w:hAnsi="__" w:cs="Times New Roman"/>
          <w:color w:val="4F4F4F"/>
          <w:sz w:val="32"/>
          <w:szCs w:val="32"/>
        </w:rPr>
        <w:t xml:space="preserve"> которой осуществляется организациями розничной торговли в присутствии потребителя, доводятся до потребителя любым способом, обеспечивающим возможность обоснованного выбора этой пищевой продукции.</w:t>
      </w:r>
    </w:p>
    <w:sectPr w:rsidR="0000000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__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9A" w:rsidRPr="006C239A" w:rsidRDefault="000738E9" w:rsidP="006C239A">
    <w:pPr>
      <w:pStyle w:val="a3"/>
      <w:rPr>
        <w:sz w:val="20"/>
        <w:szCs w:val="20"/>
      </w:rPr>
    </w:pPr>
    <w:r w:rsidRPr="006C239A">
      <w:rPr>
        <w:sz w:val="20"/>
        <w:szCs w:val="20"/>
      </w:rPr>
      <w:t xml:space="preserve">Материал подготовил: филиал ФБУЗ «Центр гигиены и эпидемиологии в Алтайском крае в городе Змеиногорске, Змеиногорском, Локтевском и </w:t>
    </w:r>
    <w:r w:rsidRPr="006C239A">
      <w:rPr>
        <w:sz w:val="20"/>
        <w:szCs w:val="20"/>
      </w:rPr>
      <w:t xml:space="preserve">Третьяковском районах» АК, Локтевский район, г. Горняк, ул. </w:t>
    </w:r>
    <w:proofErr w:type="gramStart"/>
    <w:r w:rsidRPr="006C239A">
      <w:rPr>
        <w:sz w:val="20"/>
        <w:szCs w:val="20"/>
      </w:rPr>
      <w:t>Октябрьская</w:t>
    </w:r>
    <w:proofErr w:type="gramEnd"/>
    <w:r w:rsidRPr="006C239A">
      <w:rPr>
        <w:sz w:val="20"/>
        <w:szCs w:val="20"/>
      </w:rPr>
      <w:t>, 5                                                                                                            Июнь 2020 год</w:t>
    </w:r>
  </w:p>
  <w:p w:rsidR="006C239A" w:rsidRPr="006C239A" w:rsidRDefault="000738E9">
    <w:pPr>
      <w:pStyle w:val="a3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738E9"/>
    <w:rsid w:val="0007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38E9"/>
  </w:style>
  <w:style w:type="paragraph" w:styleId="a5">
    <w:name w:val="Balloon Text"/>
    <w:basedOn w:val="a"/>
    <w:link w:val="a6"/>
    <w:uiPriority w:val="99"/>
    <w:semiHidden/>
    <w:unhideWhenUsed/>
    <w:rsid w:val="0007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>ФБУЗ ЦГ и  Э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2020-06-23T08:43:00Z</dcterms:created>
  <dcterms:modified xsi:type="dcterms:W3CDTF">2020-06-23T08:49:00Z</dcterms:modified>
</cp:coreProperties>
</file>