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C9" w:rsidRPr="008D2FC9" w:rsidRDefault="008D2FC9" w:rsidP="008D2FC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ФУНКЦИОНАЛЬНАЯ  ГРАМОТНОСТЬ ШКОЛЬНИКОВ</w:t>
      </w:r>
    </w:p>
    <w:p w:rsidR="00667CE7" w:rsidRPr="008D2FC9" w:rsidRDefault="008D2FC9" w:rsidP="008D2FC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Формирование информационно – коммуникативных умений на уроках</w:t>
      </w:r>
    </w:p>
    <w:p w:rsidR="00E36C6A" w:rsidRDefault="00E36C6A" w:rsidP="00E36C6A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36C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  <w:lang w:eastAsia="ru-RU"/>
        </w:rPr>
        <w:t>Слайд 1</w:t>
      </w:r>
    </w:p>
    <w:p w:rsidR="008D2FC9" w:rsidRDefault="008D2FC9" w:rsidP="008D2FC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Современному обществу требуются люди, умеющие быстро адаптироваться к изменениям, происходящим в мире. В новых условиях процесс обучения выпускников в школе должен быть ориентирован на развитие компетентностей, способствующих реализации концепции «образование через всю жизнь». Установлено, что предпосылкой развития компетентности является наличие определенного уровня функциональной грамотности.</w:t>
      </w:r>
    </w:p>
    <w:p w:rsidR="008D2FC9" w:rsidRDefault="008D2FC9" w:rsidP="008D2FC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Высокий уровень </w:t>
      </w:r>
      <w:proofErr w:type="spellStart"/>
      <w:r w:rsidRPr="008D2F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сформированности</w:t>
      </w:r>
      <w:proofErr w:type="spellEnd"/>
      <w:r w:rsidRPr="008D2F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функциональной грамотности у учащихся предполагает способность эффективно участвовать в жизни общества, способность к саморазвитию, самосовершенствованию, самореализации. Следовательно, обществу нужен человек функционально грамотный, который умеет работать на результат и способен к определенным социально значимым достижениям.</w:t>
      </w:r>
    </w:p>
    <w:p w:rsidR="00E36C6A" w:rsidRDefault="00E36C6A" w:rsidP="00E36C6A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36C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  <w:lang w:eastAsia="ru-RU"/>
        </w:rPr>
        <w:t>Слайд 2</w:t>
      </w:r>
    </w:p>
    <w:p w:rsidR="008D2FC9" w:rsidRDefault="00FF1D82" w:rsidP="008D2FC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 грамотность</w:t>
      </w:r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вступать в отношения с внешней средой и максимально быстро адаптироваться и функционировать в ней.</w:t>
      </w:r>
    </w:p>
    <w:p w:rsidR="00FF1D82" w:rsidRDefault="00FF1D82" w:rsidP="008D2FC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 </w:t>
      </w:r>
      <w:r w:rsidRPr="008D2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грамотности</w:t>
      </w:r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способности личности читать, понимать, составлять простые короткие тексты и осуществлять простейшие арифметические действия, </w:t>
      </w:r>
      <w:r w:rsidRPr="008D2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функциональная грамотность -</w:t>
      </w:r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E36C6A" w:rsidRPr="008D2FC9" w:rsidRDefault="00E36C6A" w:rsidP="00E36C6A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36C6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 3</w:t>
      </w:r>
    </w:p>
    <w:p w:rsidR="008D2FC9" w:rsidRDefault="00FF1D82" w:rsidP="008D2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существовании функциональной грамотности мы узнаем, только столкнувшись с ее отсутствием. Поэтому приходится говорить не столько о функциональной грамотности, сколько о функциональной безграмотности, что является одним из определяющих факторов, тормозящих развитие общественных отношений.</w:t>
      </w:r>
    </w:p>
    <w:p w:rsidR="00FF1D82" w:rsidRPr="008D2FC9" w:rsidRDefault="00FF1D82" w:rsidP="008D2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проблема функциональной грамотности рассматривается обычно не как научная и смысловая проблема, а как проблема </w:t>
      </w:r>
      <w:proofErr w:type="spellStart"/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проблема поиска механизмов и способов ускоренной ликвидации безграмотности.</w:t>
      </w:r>
    </w:p>
    <w:p w:rsidR="00FF1D82" w:rsidRPr="008D2FC9" w:rsidRDefault="00FF1D82" w:rsidP="008D2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Своеобразием начального этапа в системе целостного среднего образования является то, что именно на этой ступени важно обеспечить условия для освоения основных умений учебной деятельности, потребности и желания учиться. Именно эта деятельность в комплексе других деятельностей (игровой, спортивной, художественной, трудовой), выполняемых ребенком, играет ведущую роль в его психическом развитии.</w:t>
      </w:r>
    </w:p>
    <w:p w:rsidR="0015113E" w:rsidRDefault="0015113E" w:rsidP="008D2FC9">
      <w:pPr>
        <w:spacing w:after="0"/>
      </w:pPr>
    </w:p>
    <w:p w:rsidR="00FF1D82" w:rsidRDefault="00FF1D82"/>
    <w:p w:rsidR="00FD7DE3" w:rsidRPr="00E36C6A" w:rsidRDefault="00E36C6A" w:rsidP="00E36C6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36C6A">
        <w:rPr>
          <w:color w:val="000000"/>
          <w:sz w:val="28"/>
          <w:szCs w:val="28"/>
          <w:highlight w:val="yellow"/>
        </w:rPr>
        <w:t>Слайд 5</w:t>
      </w:r>
    </w:p>
    <w:p w:rsidR="00045EDB" w:rsidRPr="00045EDB" w:rsidRDefault="00FF1D82" w:rsidP="00045ED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45EDB">
        <w:rPr>
          <w:sz w:val="28"/>
          <w:szCs w:val="28"/>
        </w:rPr>
        <w:t xml:space="preserve">Ряд исследований показывают, что у учащихся недостаточно развита устная и письменная речь, поэтому особую озабоченность вызывает функциональная грамотность в сфере коммуникации. </w:t>
      </w:r>
    </w:p>
    <w:p w:rsidR="00E36C6A" w:rsidRDefault="00FF1D82" w:rsidP="00045ED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045EDB">
        <w:rPr>
          <w:color w:val="000000"/>
          <w:sz w:val="28"/>
          <w:szCs w:val="28"/>
        </w:rPr>
        <w:t>В современном мире технических достижений, где любую инф</w:t>
      </w:r>
      <w:r w:rsidR="00045EDB">
        <w:rPr>
          <w:color w:val="000000"/>
          <w:sz w:val="28"/>
          <w:szCs w:val="28"/>
        </w:rPr>
        <w:t>ормацию можно легко получить в И</w:t>
      </w:r>
      <w:r w:rsidRPr="00045EDB">
        <w:rPr>
          <w:color w:val="000000"/>
          <w:sz w:val="28"/>
          <w:szCs w:val="28"/>
        </w:rPr>
        <w:t xml:space="preserve">нтернете, умение общаться становится все более ценным навыком. </w:t>
      </w:r>
    </w:p>
    <w:p w:rsidR="00E36C6A" w:rsidRDefault="00E36C6A" w:rsidP="00E36C6A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8"/>
          <w:szCs w:val="28"/>
        </w:rPr>
      </w:pPr>
      <w:r w:rsidRPr="00E36C6A">
        <w:rPr>
          <w:color w:val="000000"/>
          <w:sz w:val="28"/>
          <w:szCs w:val="28"/>
          <w:highlight w:val="yellow"/>
        </w:rPr>
        <w:t>Слайд 6</w:t>
      </w:r>
    </w:p>
    <w:p w:rsidR="00FF1D82" w:rsidRDefault="00FF1D82" w:rsidP="00045ED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045EDB">
        <w:rPr>
          <w:color w:val="000000"/>
          <w:sz w:val="28"/>
          <w:szCs w:val="28"/>
        </w:rPr>
        <w:t xml:space="preserve">Развитая коммуникабельность помогает успешно продавать товары, вести переговоры, выступать перед публикой, понимать собеседника и быть понятым им. Коммуникативные навыки очень важны для личностного развития вообще, так как определяют успешность взаимодействия с миром, окружающими людьми, самим собой, а также позволяют </w:t>
      </w:r>
      <w:proofErr w:type="spellStart"/>
      <w:r w:rsidRPr="00045EDB">
        <w:rPr>
          <w:color w:val="000000"/>
          <w:sz w:val="28"/>
          <w:szCs w:val="28"/>
        </w:rPr>
        <w:t>самовыражаться</w:t>
      </w:r>
      <w:proofErr w:type="spellEnd"/>
      <w:r w:rsidRPr="00045EDB">
        <w:rPr>
          <w:color w:val="000000"/>
          <w:sz w:val="28"/>
          <w:szCs w:val="28"/>
        </w:rPr>
        <w:t xml:space="preserve"> через творчество.</w:t>
      </w:r>
    </w:p>
    <w:p w:rsidR="00E36C6A" w:rsidRPr="00045EDB" w:rsidRDefault="00E36C6A" w:rsidP="00E36C6A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FF0000"/>
          <w:sz w:val="28"/>
          <w:szCs w:val="28"/>
        </w:rPr>
      </w:pPr>
      <w:r w:rsidRPr="00E36C6A">
        <w:rPr>
          <w:color w:val="000000"/>
          <w:sz w:val="28"/>
          <w:szCs w:val="28"/>
          <w:highlight w:val="yellow"/>
        </w:rPr>
        <w:t>Слайд 7</w:t>
      </w:r>
    </w:p>
    <w:p w:rsidR="00A10006" w:rsidRDefault="00E36C6A" w:rsidP="00A1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коммуникативных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Pr="00E3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используются разные 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10006" w:rsidRDefault="00FF1D82" w:rsidP="00A10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006">
        <w:rPr>
          <w:rFonts w:ascii="Times New Roman" w:hAnsi="Times New Roman" w:cs="Times New Roman"/>
          <w:color w:val="000000"/>
          <w:sz w:val="28"/>
          <w:szCs w:val="28"/>
        </w:rPr>
        <w:t>Дети всегда готовы делиться тем, что они хорошо знают (своими выводами, находками). Подобная форма располагает к общению на заданную тему. Следовательно, идет активная работа по формированию умения полно и точно выражать свою мысль, отрабатываются навыки владения монологической</w:t>
      </w:r>
      <w:r w:rsidR="00A10006" w:rsidRPr="00A1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006">
        <w:rPr>
          <w:rFonts w:ascii="Times New Roman" w:hAnsi="Times New Roman" w:cs="Times New Roman"/>
          <w:color w:val="000000"/>
          <w:sz w:val="28"/>
          <w:szCs w:val="28"/>
        </w:rPr>
        <w:t>и диалогической речью, умения общаться с аудиторией. Развивается умение отстаивать свою точку зрения, использовать доказательства, делать выводы.</w:t>
      </w:r>
    </w:p>
    <w:p w:rsidR="00A10006" w:rsidRDefault="00A10006" w:rsidP="00A1000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00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Слайд 8,9</w:t>
      </w:r>
    </w:p>
    <w:p w:rsidR="00FF1D82" w:rsidRPr="00A10006" w:rsidRDefault="00FF1D82" w:rsidP="00A1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06">
        <w:rPr>
          <w:rFonts w:ascii="Times New Roman" w:hAnsi="Times New Roman" w:cs="Times New Roman"/>
          <w:color w:val="000000"/>
          <w:sz w:val="28"/>
          <w:szCs w:val="28"/>
        </w:rPr>
        <w:t>Эффективность урока возрастает</w:t>
      </w:r>
      <w:r w:rsidR="00A10006" w:rsidRPr="00A10006">
        <w:rPr>
          <w:rFonts w:ascii="Times New Roman" w:hAnsi="Times New Roman" w:cs="Times New Roman"/>
          <w:color w:val="000000"/>
          <w:sz w:val="28"/>
          <w:szCs w:val="28"/>
        </w:rPr>
        <w:t>, если на начальной стадии применять метод «Корзина».  З</w:t>
      </w:r>
      <w:r w:rsidRPr="00A10006">
        <w:rPr>
          <w:rFonts w:ascii="Times New Roman" w:hAnsi="Times New Roman" w:cs="Times New Roman"/>
          <w:color w:val="000000"/>
          <w:sz w:val="28"/>
          <w:szCs w:val="28"/>
        </w:rPr>
        <w:t xml:space="preserve">а счет </w:t>
      </w:r>
      <w:r w:rsidR="00A10006" w:rsidRPr="00A1000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10006">
        <w:rPr>
          <w:rFonts w:ascii="Times New Roman" w:hAnsi="Times New Roman" w:cs="Times New Roman"/>
          <w:color w:val="000000"/>
          <w:sz w:val="28"/>
          <w:szCs w:val="28"/>
        </w:rPr>
        <w:t>того увеличивается время для активной работы учеников. Ребята учатся оценивать свою работу, работу товарища, общаться, помогать друг другу. Принцип сотрудничества в процессе обучения становится ведущим. Труд на уроке носит общественно полезный характер, ведь ближайшая цель каждого ученика не только учиться самому, но и уметь научить других. Каждый на уроке имеет возможность усвоить материал.</w:t>
      </w:r>
    </w:p>
    <w:p w:rsidR="00FD7DE3" w:rsidRPr="00A10006" w:rsidRDefault="00A10006" w:rsidP="00A1000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  <w:highlight w:val="yellow"/>
        </w:rPr>
        <w:t>Слайд 10</w:t>
      </w:r>
    </w:p>
    <w:p w:rsid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Особое место в развитии</w:t>
      </w:r>
      <w:r w:rsidR="00A10006" w:rsidRPr="00A10006">
        <w:rPr>
          <w:color w:val="000000"/>
          <w:sz w:val="28"/>
          <w:szCs w:val="28"/>
        </w:rPr>
        <w:t xml:space="preserve"> коммуникационной грамотности имеют уроки литературного чтения, где особая роль принадлежит</w:t>
      </w:r>
      <w:r w:rsidRPr="00A10006">
        <w:rPr>
          <w:color w:val="000000"/>
          <w:sz w:val="28"/>
          <w:szCs w:val="28"/>
        </w:rPr>
        <w:t xml:space="preserve"> работе с текстом.</w:t>
      </w:r>
    </w:p>
    <w:p w:rsidR="00BA7484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 xml:space="preserve">Задачи учителя при анализе текстов: помочь осмыслить идею и сюжет произведения; показать художественные средства, использованные для достижения цели; обратить внимание на особенности языка конкретного писателя. </w:t>
      </w:r>
    </w:p>
    <w:p w:rsidR="00BA7484" w:rsidRDefault="00BA7484" w:rsidP="00BA748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8"/>
          <w:szCs w:val="28"/>
        </w:rPr>
      </w:pPr>
      <w:r w:rsidRPr="00BA7484">
        <w:rPr>
          <w:color w:val="000000"/>
          <w:sz w:val="28"/>
          <w:szCs w:val="28"/>
          <w:highlight w:val="yellow"/>
        </w:rPr>
        <w:t>Слайд 11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 xml:space="preserve">Чтобы понять художественное произведение, оценить его по достоинству, надо к нему «приблизиться», проанализировать его язык, понять, как живут, употребляются в нем языковые средства (фонетические, </w:t>
      </w:r>
      <w:r w:rsidRPr="00A10006">
        <w:rPr>
          <w:color w:val="000000"/>
          <w:sz w:val="28"/>
          <w:szCs w:val="28"/>
        </w:rPr>
        <w:lastRenderedPageBreak/>
        <w:t>лексические, словообразовательные и грамматические). Об этом говорю на уроках с учащимися, мотивируя их к деятельности, к работе над словом.</w:t>
      </w:r>
    </w:p>
    <w:p w:rsidR="00BA7484" w:rsidRDefault="00BA7484" w:rsidP="00BA748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A7484">
        <w:rPr>
          <w:color w:val="000000"/>
          <w:sz w:val="28"/>
          <w:szCs w:val="28"/>
          <w:highlight w:val="yellow"/>
        </w:rPr>
        <w:t>Слайд 12-15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С этой целью даю следующие задания: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постановка вопросов к тексту;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составление плана;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чтение с пометками. Дается целевая установка: походу чтения делать пометки в тексте: знаю, новое, есть вопросы.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 xml:space="preserve">- составление </w:t>
      </w:r>
      <w:proofErr w:type="spellStart"/>
      <w:r w:rsidRPr="00A10006">
        <w:rPr>
          <w:color w:val="000000"/>
          <w:sz w:val="28"/>
          <w:szCs w:val="28"/>
        </w:rPr>
        <w:t>синквейна</w:t>
      </w:r>
      <w:proofErr w:type="spellEnd"/>
      <w:r w:rsidRPr="00A10006">
        <w:rPr>
          <w:color w:val="000000"/>
          <w:sz w:val="28"/>
          <w:szCs w:val="28"/>
        </w:rPr>
        <w:t xml:space="preserve"> по тексту;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построение таблицы на основе текста;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передача содержания текста в форме опорного конспекта;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подробный пересказ текста;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компрессия текста (сжатый пересказ)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письменный ответ на вопрос;</w:t>
      </w:r>
    </w:p>
    <w:p w:rsidR="00FF1D82" w:rsidRPr="00A10006" w:rsidRDefault="00FF1D82" w:rsidP="00A1000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- пересказ текста от одного из действующих лиц.</w:t>
      </w:r>
    </w:p>
    <w:p w:rsidR="00CC63A9" w:rsidRPr="00A10006" w:rsidRDefault="00BA7484" w:rsidP="00BA748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A7484">
        <w:rPr>
          <w:color w:val="000000"/>
          <w:sz w:val="28"/>
          <w:szCs w:val="28"/>
          <w:highlight w:val="yellow"/>
        </w:rPr>
        <w:t>Слайд 16</w:t>
      </w:r>
      <w:r w:rsidR="00AB0FDF" w:rsidRPr="00AB0FDF">
        <w:rPr>
          <w:color w:val="000000"/>
          <w:sz w:val="28"/>
          <w:szCs w:val="28"/>
          <w:highlight w:val="yellow"/>
        </w:rPr>
        <w:t>-20</w:t>
      </w:r>
    </w:p>
    <w:p w:rsidR="00BA7484" w:rsidRDefault="00BA7484" w:rsidP="00BA748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 хочется отметить приём «</w:t>
      </w:r>
      <w:proofErr w:type="spellStart"/>
      <w:r>
        <w:rPr>
          <w:color w:val="000000"/>
          <w:sz w:val="28"/>
          <w:szCs w:val="28"/>
        </w:rPr>
        <w:t>брик</w:t>
      </w:r>
      <w:r w:rsidR="00AB0FDF">
        <w:rPr>
          <w:color w:val="000000"/>
          <w:sz w:val="28"/>
          <w:szCs w:val="28"/>
        </w:rPr>
        <w:t>олаж</w:t>
      </w:r>
      <w:proofErr w:type="spellEnd"/>
      <w:r w:rsidR="00AB0FDF">
        <w:rPr>
          <w:color w:val="000000"/>
          <w:sz w:val="28"/>
          <w:szCs w:val="28"/>
        </w:rPr>
        <w:t xml:space="preserve">», который можно использовать на уроке окружающего мира или русского языка. </w:t>
      </w:r>
    </w:p>
    <w:p w:rsidR="00AB0FDF" w:rsidRDefault="00AB0FDF" w:rsidP="00AB0FDF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8"/>
          <w:szCs w:val="28"/>
        </w:rPr>
      </w:pPr>
      <w:r w:rsidRPr="00AB0FDF">
        <w:rPr>
          <w:color w:val="000000"/>
          <w:sz w:val="28"/>
          <w:szCs w:val="28"/>
          <w:highlight w:val="yellow"/>
        </w:rPr>
        <w:t>Слайд 21</w:t>
      </w:r>
    </w:p>
    <w:p w:rsidR="00D32A63" w:rsidRDefault="00FF1D82" w:rsidP="00D32A6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В отличие от процесса стихийного чтения, это приемы осознанного и целенаправленного чтения.</w:t>
      </w:r>
      <w:r w:rsidR="00D32A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0006">
        <w:rPr>
          <w:color w:val="000000"/>
          <w:sz w:val="28"/>
          <w:szCs w:val="28"/>
        </w:rPr>
        <w:t xml:space="preserve">Формирование коммуникативной компетенции посредством работы с текстом способствует разностороннему развитию языковой личности учащегося. </w:t>
      </w:r>
    </w:p>
    <w:p w:rsidR="00D32A63" w:rsidRDefault="00D32A63" w:rsidP="00D32A6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8"/>
          <w:szCs w:val="28"/>
        </w:rPr>
      </w:pPr>
      <w:r w:rsidRPr="00D32A63">
        <w:rPr>
          <w:color w:val="000000"/>
          <w:sz w:val="28"/>
          <w:szCs w:val="28"/>
          <w:highlight w:val="yellow"/>
        </w:rPr>
        <w:t>Слайд 22</w:t>
      </w:r>
    </w:p>
    <w:p w:rsidR="00FF1D82" w:rsidRDefault="00FF1D82" w:rsidP="00D32A6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10006">
        <w:rPr>
          <w:color w:val="000000"/>
          <w:sz w:val="28"/>
          <w:szCs w:val="28"/>
        </w:rPr>
        <w:t>Школа призвана развивать способность школьника реализовать себя в новых динамичных социально-экономических условиях, адаптироваться к различным жизненным обстоятельствам. И характеристиками такой личности становятся коммуникабельность, способность к сотрудничеству и социальному речевому взаимодействию, владение культурой слова, устной и письменной речью в различных сферах применения языка.</w:t>
      </w:r>
    </w:p>
    <w:p w:rsidR="00D32A63" w:rsidRPr="00A10006" w:rsidRDefault="00D32A63" w:rsidP="00D32A6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D32A63">
        <w:rPr>
          <w:color w:val="000000"/>
          <w:sz w:val="28"/>
          <w:szCs w:val="28"/>
          <w:highlight w:val="yellow"/>
        </w:rPr>
        <w:t>Слайд 23</w:t>
      </w:r>
    </w:p>
    <w:p w:rsidR="00FF1D82" w:rsidRDefault="00FF1D82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32A63" w:rsidRDefault="00D32A63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1D82" w:rsidRPr="00D32A63" w:rsidRDefault="00FF1D82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D32A63">
        <w:rPr>
          <w:b/>
          <w:color w:val="000000"/>
          <w:sz w:val="28"/>
          <w:szCs w:val="28"/>
        </w:rPr>
        <w:t>Список использованной литературы</w:t>
      </w:r>
    </w:p>
    <w:p w:rsidR="00FF1D82" w:rsidRDefault="00FF1D82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proofErr w:type="spellStart"/>
      <w:r>
        <w:rPr>
          <w:color w:val="000000"/>
          <w:sz w:val="27"/>
          <w:szCs w:val="27"/>
        </w:rPr>
        <w:t>Гершунский</w:t>
      </w:r>
      <w:proofErr w:type="spellEnd"/>
      <w:r>
        <w:rPr>
          <w:color w:val="000000"/>
          <w:sz w:val="27"/>
          <w:szCs w:val="27"/>
        </w:rPr>
        <w:t xml:space="preserve">, Б. С. Грамотность для XXI века / Б. С. </w:t>
      </w:r>
      <w:proofErr w:type="spellStart"/>
      <w:r>
        <w:rPr>
          <w:color w:val="000000"/>
          <w:sz w:val="27"/>
          <w:szCs w:val="27"/>
        </w:rPr>
        <w:t>Гершунский</w:t>
      </w:r>
      <w:proofErr w:type="spellEnd"/>
      <w:r>
        <w:rPr>
          <w:color w:val="000000"/>
          <w:sz w:val="27"/>
          <w:szCs w:val="27"/>
        </w:rPr>
        <w:t>. - Советская педагогика, 2010 - 60 с.</w:t>
      </w:r>
    </w:p>
    <w:p w:rsidR="00FF1D82" w:rsidRDefault="00D32A63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F1D82">
        <w:rPr>
          <w:color w:val="000000"/>
          <w:sz w:val="27"/>
          <w:szCs w:val="27"/>
        </w:rPr>
        <w:t xml:space="preserve">. Ермоленко, В. А. Дидактические основы функциональной грамотности в современных условиях: пособие для работников системы образования / В. А. Ермоленко, Р. Л. </w:t>
      </w:r>
      <w:proofErr w:type="spellStart"/>
      <w:r w:rsidR="00FF1D82">
        <w:rPr>
          <w:color w:val="000000"/>
          <w:sz w:val="27"/>
          <w:szCs w:val="27"/>
        </w:rPr>
        <w:t>Перчонок</w:t>
      </w:r>
      <w:proofErr w:type="spellEnd"/>
      <w:r w:rsidR="00FF1D82">
        <w:rPr>
          <w:color w:val="000000"/>
          <w:sz w:val="27"/>
          <w:szCs w:val="27"/>
        </w:rPr>
        <w:t xml:space="preserve">, С. Ю. </w:t>
      </w:r>
      <w:proofErr w:type="spellStart"/>
      <w:r w:rsidR="00FF1D82">
        <w:rPr>
          <w:color w:val="000000"/>
          <w:sz w:val="27"/>
          <w:szCs w:val="27"/>
        </w:rPr>
        <w:t>Черноглазкин</w:t>
      </w:r>
      <w:proofErr w:type="spellEnd"/>
      <w:r w:rsidR="00FF1D82">
        <w:rPr>
          <w:color w:val="000000"/>
          <w:sz w:val="27"/>
          <w:szCs w:val="27"/>
        </w:rPr>
        <w:t xml:space="preserve">; под ред. В. А. Ермоленко. - Москва: Российская академия образования, теории образования и педагогики, 2009. - 22В </w:t>
      </w:r>
      <w:proofErr w:type="gramStart"/>
      <w:r w:rsidR="00FF1D82">
        <w:rPr>
          <w:color w:val="000000"/>
          <w:sz w:val="27"/>
          <w:szCs w:val="27"/>
        </w:rPr>
        <w:t>с</w:t>
      </w:r>
      <w:proofErr w:type="gramEnd"/>
      <w:r w:rsidR="00FF1D82">
        <w:rPr>
          <w:color w:val="000000"/>
          <w:sz w:val="27"/>
          <w:szCs w:val="27"/>
        </w:rPr>
        <w:t>.</w:t>
      </w:r>
    </w:p>
    <w:p w:rsidR="00D32A63" w:rsidRDefault="00D32A63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hyperlink r:id="rId6" w:history="1">
        <w:r w:rsidRPr="000051B5">
          <w:rPr>
            <w:rStyle w:val="a7"/>
            <w:sz w:val="27"/>
            <w:szCs w:val="27"/>
          </w:rPr>
          <w:t>https://infourok.ru/funkcionalnaya-gramotnost-kak-metodicheskoe-ponyatie-4291739.html</w:t>
        </w:r>
      </w:hyperlink>
    </w:p>
    <w:p w:rsidR="00D32A63" w:rsidRDefault="00D32A63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D32A63">
        <w:rPr>
          <w:color w:val="000000"/>
          <w:sz w:val="27"/>
          <w:szCs w:val="27"/>
        </w:rPr>
        <w:t>http://petelino.depon72.ru/?p=13852</w:t>
      </w:r>
    </w:p>
    <w:p w:rsidR="00D32A63" w:rsidRDefault="00D32A63" w:rsidP="00FF1D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1D82" w:rsidRDefault="00FF1D82">
      <w:bookmarkStart w:id="0" w:name="_GoBack"/>
      <w:bookmarkEnd w:id="0"/>
    </w:p>
    <w:sectPr w:rsidR="00FF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5A7"/>
    <w:multiLevelType w:val="hybridMultilevel"/>
    <w:tmpl w:val="11180664"/>
    <w:lvl w:ilvl="0" w:tplc="9162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69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0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E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4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6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85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8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80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DE"/>
    <w:rsid w:val="00045EDB"/>
    <w:rsid w:val="0015113E"/>
    <w:rsid w:val="00667CE7"/>
    <w:rsid w:val="008D2FC9"/>
    <w:rsid w:val="00A10006"/>
    <w:rsid w:val="00AB0FDF"/>
    <w:rsid w:val="00BA7484"/>
    <w:rsid w:val="00CC63A9"/>
    <w:rsid w:val="00D32A63"/>
    <w:rsid w:val="00E36C6A"/>
    <w:rsid w:val="00EA2FDE"/>
    <w:rsid w:val="00FD7DE3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2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funkcionalnaya-gramotnost-kak-metodicheskoe-ponyatie-42917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2020-08-18T15:53:00Z</dcterms:created>
  <dcterms:modified xsi:type="dcterms:W3CDTF">2020-08-19T17:18:00Z</dcterms:modified>
</cp:coreProperties>
</file>